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42988" cy="723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Face to Face Academy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Board Meeting Notes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July 21, 2025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Attendance included Academy School Board Members Bryan Bakke, Mike Nord, Jason Meyer, Rachel Samuelson, Carrissa Lange, Rachel Blawat (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online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), and Willie Sutt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le (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online)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 Also present for the meeting was Darius Husain (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Academy 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Director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 and Jennifer Plum (</w:t>
      </w: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Ast. to the Board Secretary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i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This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 Board Meeting was conducted both on campus and via Zoom so that all attendees could attend. 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1)</w:t>
        <w:tab/>
        <w:t xml:space="preserve">Review of Agenda &amp; Conflict of Interest Regarding Agenda Items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no conflicts of interest noted.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2)</w:t>
        <w:tab/>
        <w:t xml:space="preserve">Public Comment Period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no Public Comments made to the Board.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3)</w:t>
        <w:tab/>
        <w:t xml:space="preserve">Academy Board Election Results &amp; Seating of New Board Members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 thirty school board ballots were collected in the recent election and the results were shared for Members to review.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Officers include Mr. Suttle as Vice Chair, Mr. Bakke as Treasurer, and Ms. Samuelson as Secretary.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Upon a motion duly made and seconded, the certification of the School Board Election was accepted as submitted. Approval noted by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, Mr. Meyer, Ms. Samuelson, Ms. Lange, Ms. Blawat, and Mr. Bakke.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Upon a motion duly made and seconded, the Board Offices were accepted as submitted.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4)</w:t>
        <w:tab/>
        <w:t xml:space="preserve">Proposed Board Calendar for SY26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Upon a motion duly made and seconded, the Board Calendar of Meetings was accepted as submitted.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5)   </w:t>
        <w:tab/>
        <w:t xml:space="preserve">Review of May 2025 Board Minutes </w:t>
      </w:r>
    </w:p>
    <w:p w:rsidR="00000000" w:rsidDel="00000000" w:rsidP="00000000" w:rsidRDefault="00000000" w:rsidRPr="00000000" w14:paraId="00000024">
      <w:pPr>
        <w:spacing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*Board Members prefer the protocol of reading the Board Minutes before the meeting.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Upon a motion duly made and seconded, the May 19, 2025 School Board Minutes were accepted as submitted.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6)</w:t>
        <w:tab/>
        <w:t xml:space="preserve">Finance Report, Credit Card, Checks, and Wire Statements  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0" w:afterAutospacing="0" w:before="353.87481689453125" w:line="241.61118507385254" w:lineRule="auto"/>
        <w:ind w:left="720" w:right="232.880859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Statements were received through June 30 for the school year 2024/25 and shared for the Board to review.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Revenue is at 99% received.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Expenditures are 97% spent.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school year is 100% complete.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Reconciled cash balance is $774,475.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Holdback is noted at $193,005.  The holdback will reflect the higher enrollment once it begins to be paid back starting in August.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Donations are noted at $24,230.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budget currently reflects the ADM of 93.86 verified by the Minnesota Department of Education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.)  Enrollment was projected at 92.50.  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year 2025/26 projects a 92.5 ADM. 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two CDs are earning 4 - 5% and are FDIC protected while being under $250,000.  Anything over this amount is deposited into the other Academy account. 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pacing w:before="0" w:beforeAutospacing="0" w:line="237.4049949645996" w:lineRule="auto"/>
        <w:ind w:left="720" w:right="1536.879882812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Checks and wires, Amazon purchases, and the credit card statements were circulated for the Board members for review.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Upon a motion duly made and seconded, the financial documents were accepted as submitted. Approval noted by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, Mr. Meyer, Ms. Lange, Ms. Samuelson, Ms. Blawat, Mr. Bakke.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7)</w:t>
        <w:tab/>
        <w:t xml:space="preserve">Grow Your Own Initiative: PLan to Help Address teacher Shortages in Credit Deficit Areas </w:t>
        <w:tab/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Memo was shared with Board Members to review the initiative to address teacher shortages and credit deficiency areas.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history of the staffing of the Academy was shared.  The greatest turnover in twenty years of staffing occurred in the last year. 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of how Alisa Hoven’s future educational plans can be supported by the Academy’s “Grow Your Own” initiative. </w:t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Upon a motion duly made and seconded, the “Grow Your Own” initiative for Alisa Hoven was accepted as submitted. Approval noted by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, Mr. Meyer, Ms. Lange, Ms. Samuelson, Ms. Blawat, Mr. Bakke.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8)</w:t>
        <w:tab/>
        <w:t xml:space="preserve">State and Federal Funding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Memo on MN Omnibus Education Bill and Financial Impact SY 26 &amp; Beyond was shared with Board Members to review.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impact on the Academy was discussed.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 Husain is applying to be on the Compensatory Revenue Committee at MDE in order to understand the impact on the Academy and other charter schools. 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9)</w:t>
        <w:tab/>
        <w:t xml:space="preserve">Outdoor Experiential Learning Space - Phase 1 Update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Memo on the leftover tasks of Phase 1 was shared with Board Members to review.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$8-10K funds remaining to complete the remaining tasks.  The basketball court completion was already paid for.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Phase 2 areas were briefly discussed. 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10)</w:t>
        <w:tab/>
        <w:t xml:space="preserve">EFT / Account Signature Statement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Upon a motion duly made and seconded, the EFT/account signature statement was accepted as submitted.  Approval noted by Mr. Nord, Mr.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Suttle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, Mr. Meyer, Ms. Lange, Ms. Samuelson, Ms. Blawat, Mr. Bakke.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11) </w:t>
        <w:tab/>
        <w:t xml:space="preserve">IowA Designation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Upon a motion duly made and seconded, the IOwA designation of A. Darius Husain was accepted as submitted.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12) </w:t>
        <w:tab/>
        <w:t xml:space="preserve">Board Forms - Lease Aid &amp; Conflict of Interest Statements 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were given forms to sign for the school year 2025/26.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13)</w:t>
        <w:tab/>
        <w:t xml:space="preserve">Academy Program Report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new school year has started and off to a great start.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enrollment is at 91 students. 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session is halfway through.  Programming has included another Summer of Fun.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Academy is fully staffed. 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Board Meeting is scheduled for August 18, 2025.</w:t>
      </w:r>
    </w:p>
    <w:p w:rsidR="00000000" w:rsidDel="00000000" w:rsidP="00000000" w:rsidRDefault="00000000" w:rsidRPr="00000000" w14:paraId="0000006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adjourned at 5:40 p.m.</w:t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6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Rachel Samuelson</w:t>
      </w:r>
    </w:p>
    <w:p w:rsidR="00000000" w:rsidDel="00000000" w:rsidP="00000000" w:rsidRDefault="00000000" w:rsidRPr="00000000" w14:paraId="0000006E">
      <w:pPr>
        <w:pageBreakBefore w:val="0"/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