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42988" cy="7239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2988" cy="72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Face to Face Academy</w:t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Board Meeting Notes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January 26th 2026</w:t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Attendance included Academy School Board Members (in-person):  Mike Nord. Also present online.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Also present online included Board Members Rachel Samuelson, Willie Suttle and Bryan Bakke. Also present for the meeting was Darius Husain (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6"/>
          <w:szCs w:val="26"/>
          <w:rtl w:val="0"/>
        </w:rPr>
        <w:t xml:space="preserve">Academy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6"/>
          <w:szCs w:val="26"/>
          <w:rtl w:val="0"/>
        </w:rPr>
        <w:t xml:space="preserve">Director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) and Tom Kigin (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6"/>
          <w:szCs w:val="26"/>
          <w:rtl w:val="0"/>
        </w:rPr>
        <w:t xml:space="preserve">Advisor to the board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). Not present included Rachel Blawat, Jason Meyer, and Carissa Lange.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6"/>
          <w:szCs w:val="26"/>
          <w:rtl w:val="0"/>
        </w:rPr>
        <w:t xml:space="preserve">**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6"/>
          <w:szCs w:val="26"/>
          <w:rtl w:val="0"/>
        </w:rPr>
        <w:t xml:space="preserve">This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6"/>
          <w:szCs w:val="26"/>
          <w:rtl w:val="0"/>
        </w:rPr>
        <w:t xml:space="preserve"> Board Meeting was conducted both on campus and via Zoom so that all Members could attend. </w:t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1)</w:t>
        <w:tab/>
        <w:t xml:space="preserve">Review of Agenda &amp; Conflict of Interest Regarding Agenda Items</w:t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were no conflicts of interest noted.</w:t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2)</w:t>
        <w:tab/>
        <w:t xml:space="preserve">Public Comment Period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were no Public Comments made to the Board.</w:t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3)</w:t>
        <w:tab/>
        <w:t xml:space="preserve">Review of November 2025 Board Minutes </w:t>
      </w:r>
    </w:p>
    <w:p w:rsidR="00000000" w:rsidDel="00000000" w:rsidP="00000000" w:rsidRDefault="00000000" w:rsidRPr="00000000" w14:paraId="00000013">
      <w:pPr>
        <w:spacing w:line="240" w:lineRule="auto"/>
        <w:ind w:firstLine="72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*Board Members prefer the protocol of reading the Board Minutes before the meeting.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Upon a motion duly made and seconded, the October 20, 2025 School Board Minutes were accepted as submitted. Approval noted by Ms. Samuelson, Mr. Nord, Mr.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Suttle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, and Mr. Bakke.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18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4)   Finance Report, Credit Card, Checks, and Wire Statements   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after="0" w:afterAutospacing="0" w:before="353.87481689453125" w:line="241.61118507385254" w:lineRule="auto"/>
        <w:ind w:left="720" w:right="232.880859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Financial Statements were received through December 31 for the school year 2025/26 and shared for the Board to review. 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Revenue is at 40% received. Revenue is at 40% due to the holdback and revisions to the Charter School Lease Aid application.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Expenditures are 49% spent. Supplies will qualify, be codified and moved to Kinney Grant.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school year is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50% complete. 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Reconciled cash balance is $898,197.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Holdback is noted at $99,346.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Donations are noted at $12,107. Projected $15,000.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Review of two CD’s.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budget currently reflects the ADM of 92.50.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Review of the deposit register. 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spacing w:before="0" w:beforeAutospacing="0" w:line="237.4049949645996" w:lineRule="auto"/>
        <w:ind w:left="720" w:right="1536.879882812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Checks and wires, Amazon purchases, and the credit card statements were circulated for the Board members for review.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Upon a motion duly made and seconded, the financial documents were accepted as submitted. Approval noted by Ms. Samuelson, Mr. Nord, Mr.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Suttle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, and Mr. Bakke.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5) </w:t>
        <w:tab/>
        <w:t xml:space="preserve">Authorizer Renewal Application – Review and Approval</w:t>
      </w:r>
    </w:p>
    <w:p w:rsidR="00000000" w:rsidDel="00000000" w:rsidP="00000000" w:rsidRDefault="00000000" w:rsidRPr="00000000" w14:paraId="00000029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Review of application and understanding as to what was included.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 pages of critical program highlights.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Review of six school specific goals and recommended modifications. </w:t>
      </w:r>
    </w:p>
    <w:p w:rsidR="00000000" w:rsidDel="00000000" w:rsidP="00000000" w:rsidRDefault="00000000" w:rsidRPr="00000000" w14:paraId="0000002D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Upon a motion duly made and seconded, the financial documents were accepted as submitted. Approval noted by Ms. Samuelson, Mr. Nord, Mr.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Suttle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, and Mr.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6)</w:t>
        <w:tab/>
        <w:t xml:space="preserve">Guidelines for request of Information and/or Student Access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Review of the guidance to protect the constitutional rights of students while balancing the requirement for Law Enforcement and other employees of the state/federal government to execute their duties.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Review of the protocol for visitors on school property.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Overview of enhanced supervision protocol.</w:t>
      </w:r>
    </w:p>
    <w:p w:rsidR="00000000" w:rsidDel="00000000" w:rsidP="00000000" w:rsidRDefault="00000000" w:rsidRPr="00000000" w14:paraId="00000036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No board action required. </w:t>
      </w:r>
    </w:p>
    <w:p w:rsidR="00000000" w:rsidDel="00000000" w:rsidP="00000000" w:rsidRDefault="00000000" w:rsidRPr="00000000" w14:paraId="00000038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7)</w:t>
        <w:tab/>
        <w:t xml:space="preserve">Building Lease Review &amp; Option Years</w:t>
      </w:r>
    </w:p>
    <w:p w:rsidR="00000000" w:rsidDel="00000000" w:rsidP="00000000" w:rsidRDefault="00000000" w:rsidRPr="00000000" w14:paraId="0000003A">
      <w:pPr>
        <w:pageBreakBefore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Review of building lease.</w:t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 5 of this lease is an optional year.</w:t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Face to Face Academy director, Darius Husain,  is open to discussion for future leases between the Face to Face Academy and Face to Face Health and Counseling. </w:t>
      </w:r>
    </w:p>
    <w:p w:rsidR="00000000" w:rsidDel="00000000" w:rsidP="00000000" w:rsidRDefault="00000000" w:rsidRPr="00000000" w14:paraId="0000003E">
      <w:pPr>
        <w:pageBreakBefore w:val="0"/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Upon a motion duly made and seconded, the change in the Board calendar was accepted as submitted. Approval noted by Ms. Samuelson, Mr. Meyer, Ms. Lange, Ms. Blatwat, Mr. Nord, Mr.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Suttle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, and Mr. Bakke.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8) </w:t>
        <w:tab/>
        <w:t xml:space="preserve">Academy Program Report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staffing update: Jennifer Plum will continue to be out for health related issues. The board was informed about administration and classroom duties and coverage.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Third quarter attendance reviewed and circumstances were identified as to why there has been a situational decline in attendance. Due to safety concerns in the community, 20% of in-person students have switched to online.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Internal enrollment is 95 students which is on target for the 92.5 ADM. 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next Board Meeting is scheduled for February 23, 2026.</w:t>
      </w:r>
    </w:p>
    <w:p w:rsidR="00000000" w:rsidDel="00000000" w:rsidP="00000000" w:rsidRDefault="00000000" w:rsidRPr="00000000" w14:paraId="00000048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Upon a motion duly made and seconded, the financial documents were accepted as submitted. Approval noted by Ms. Samuelson, Mr. Nord, Mr.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Suttle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, and Mr. Bakke.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Meeting adjourned at 5:58 p.m.</w:t>
      </w:r>
    </w:p>
    <w:p w:rsidR="00000000" w:rsidDel="00000000" w:rsidP="00000000" w:rsidRDefault="00000000" w:rsidRPr="00000000" w14:paraId="0000004E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Respectfully Submitted,</w:t>
      </w:r>
    </w:p>
    <w:p w:rsidR="00000000" w:rsidDel="00000000" w:rsidP="00000000" w:rsidRDefault="00000000" w:rsidRPr="00000000" w14:paraId="00000052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Rachel Samuelson</w:t>
      </w:r>
    </w:p>
    <w:p w:rsidR="00000000" w:rsidDel="00000000" w:rsidP="00000000" w:rsidRDefault="00000000" w:rsidRPr="00000000" w14:paraId="00000055">
      <w:pPr>
        <w:pageBreakBefore w:val="0"/>
        <w:spacing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Secretary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sz w:val="14"/>
        <w:szCs w:val="1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